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关于建立学校新型冠状病毒感染防控“接诉即办”平台的通知</w:t>
      </w:r>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各部门、各二级学院：</w:t>
      </w:r>
    </w:p>
    <w:p>
      <w:pPr>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根据自治区教育厅关于进一步科学精准做好高校新型冠状病毒感染防控工作的通知要求，为及时受理师生反映的涉疫问题，健全问题快速反应和解决反馈机制，及时协调解决师生合理诉求，学院建立新型冠状病毒感染防控“接诉即办”平台，全面受理师生关于新型冠状病毒感染防控的诉求。平台热线电话：15047295436。</w:t>
      </w:r>
      <w:bookmarkStart w:id="0" w:name="_GoBack"/>
      <w:bookmarkEnd w:id="0"/>
    </w:p>
    <w:p>
      <w:p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特此通知</w:t>
      </w:r>
    </w:p>
    <w:p>
      <w:pPr>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附：内蒙古美术职业学院疫情防控“接诉即办”受理表</w:t>
      </w:r>
    </w:p>
    <w:p>
      <w:pPr>
        <w:rPr>
          <w:rFonts w:hint="eastAsia" w:ascii="宋体" w:hAnsi="宋体" w:eastAsia="宋体" w:cs="宋体"/>
          <w:sz w:val="32"/>
          <w:szCs w:val="32"/>
          <w:lang w:val="en-US" w:eastAsia="zh-CN"/>
        </w:rPr>
      </w:pPr>
    </w:p>
    <w:p>
      <w:pPr>
        <w:rPr>
          <w:rFonts w:hint="eastAsia" w:ascii="宋体" w:hAnsi="宋体" w:eastAsia="宋体" w:cs="宋体"/>
          <w:sz w:val="32"/>
          <w:szCs w:val="32"/>
          <w:lang w:val="en-US" w:eastAsia="zh-CN"/>
        </w:rPr>
      </w:pPr>
    </w:p>
    <w:p>
      <w:pPr>
        <w:jc w:val="right"/>
        <w:rPr>
          <w:rFonts w:hint="eastAsia" w:ascii="宋体" w:hAnsi="宋体" w:eastAsia="宋体" w:cs="宋体"/>
          <w:sz w:val="32"/>
          <w:szCs w:val="32"/>
          <w:lang w:val="en-US" w:eastAsia="zh-CN"/>
        </w:rPr>
      </w:pPr>
    </w:p>
    <w:p>
      <w:pPr>
        <w:ind w:firstLine="1920" w:firstLineChars="600"/>
        <w:jc w:val="righ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内蒙古美术职业学院疫情防控指挥部</w:t>
      </w:r>
    </w:p>
    <w:p>
      <w:pPr>
        <w:ind w:firstLine="3200" w:firstLineChars="1000"/>
        <w:jc w:val="righ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2022年2月10日</w:t>
      </w:r>
    </w:p>
    <w:p>
      <w:pPr>
        <w:ind w:firstLine="3200" w:firstLineChars="1000"/>
        <w:jc w:val="center"/>
        <w:rPr>
          <w:rFonts w:hint="eastAsia" w:ascii="宋体" w:hAnsi="宋体" w:eastAsia="宋体" w:cs="宋体"/>
          <w:sz w:val="32"/>
          <w:szCs w:val="32"/>
          <w:lang w:val="en-US" w:eastAsia="zh-CN"/>
        </w:rPr>
      </w:pPr>
    </w:p>
    <w:p>
      <w:pPr>
        <w:ind w:firstLine="3200" w:firstLineChars="1000"/>
        <w:rPr>
          <w:rFonts w:hint="eastAsia" w:ascii="宋体" w:hAnsi="宋体" w:eastAsia="宋体" w:cs="宋体"/>
          <w:sz w:val="32"/>
          <w:szCs w:val="32"/>
          <w:lang w:val="en-US" w:eastAsia="zh-CN"/>
        </w:rPr>
      </w:pPr>
    </w:p>
    <w:p>
      <w:pPr>
        <w:ind w:firstLine="3200" w:firstLineChars="1000"/>
        <w:rPr>
          <w:rFonts w:hint="eastAsia" w:ascii="宋体" w:hAnsi="宋体" w:eastAsia="宋体" w:cs="宋体"/>
          <w:sz w:val="32"/>
          <w:szCs w:val="32"/>
          <w:lang w:val="en-US" w:eastAsia="zh-CN"/>
        </w:rPr>
      </w:pPr>
    </w:p>
    <w:p>
      <w:pPr>
        <w:ind w:firstLine="3200" w:firstLineChars="1000"/>
        <w:rPr>
          <w:rFonts w:hint="eastAsia" w:ascii="宋体" w:hAnsi="宋体" w:eastAsia="宋体" w:cs="宋体"/>
          <w:sz w:val="32"/>
          <w:szCs w:val="32"/>
          <w:lang w:val="en-US" w:eastAsia="zh-CN"/>
        </w:rPr>
      </w:pPr>
    </w:p>
    <w:p>
      <w:pPr>
        <w:ind w:firstLine="3200" w:firstLineChars="1000"/>
        <w:rPr>
          <w:rFonts w:hint="eastAsia" w:ascii="宋体" w:hAnsi="宋体" w:eastAsia="宋体" w:cs="宋体"/>
          <w:sz w:val="32"/>
          <w:szCs w:val="32"/>
          <w:lang w:val="en-US" w:eastAsia="zh-CN"/>
        </w:rPr>
      </w:pPr>
    </w:p>
    <w:p>
      <w:pPr>
        <w:rPr>
          <w:rFonts w:hint="eastAsia" w:ascii="宋体" w:hAnsi="宋体" w:eastAsia="宋体" w:cs="宋体"/>
          <w:sz w:val="32"/>
          <w:szCs w:val="32"/>
          <w:lang w:val="en-US" w:eastAsia="zh-CN"/>
        </w:rPr>
      </w:pPr>
    </w:p>
    <w:p>
      <w:pPr>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附件：</w:t>
      </w:r>
    </w:p>
    <w:p>
      <w:pPr>
        <w:jc w:val="center"/>
        <w:rPr>
          <w:rFonts w:hint="eastAsia"/>
          <w:b/>
          <w:bCs/>
          <w:sz w:val="36"/>
          <w:szCs w:val="36"/>
          <w:lang w:val="en-US" w:eastAsia="zh-CN"/>
        </w:rPr>
      </w:pPr>
      <w:r>
        <w:rPr>
          <w:rFonts w:hint="eastAsia"/>
          <w:b/>
          <w:bCs/>
          <w:sz w:val="36"/>
          <w:szCs w:val="36"/>
          <w:lang w:val="en-US" w:eastAsia="zh-CN"/>
        </w:rPr>
        <w:t>内蒙古美术职业学院疫情防控“接诉即办”受理表</w:t>
      </w:r>
    </w:p>
    <w:p>
      <w:pPr>
        <w:rPr>
          <w:rFonts w:hint="eastAsia" w:ascii="宋体" w:hAnsi="宋体" w:eastAsia="宋体" w:cs="宋体"/>
          <w:sz w:val="24"/>
          <w:szCs w:val="24"/>
          <w:lang w:val="en-US" w:eastAsia="zh-CN"/>
        </w:rPr>
      </w:pPr>
    </w:p>
    <w:p>
      <w:pP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受理时间：  2023 年    月    日                   受理人：</w:t>
      </w:r>
    </w:p>
    <w:tbl>
      <w:tblPr>
        <w:tblStyle w:val="4"/>
        <w:tblW w:w="87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1500"/>
        <w:gridCol w:w="1050"/>
        <w:gridCol w:w="1050"/>
        <w:gridCol w:w="1077"/>
        <w:gridCol w:w="940"/>
        <w:gridCol w:w="860"/>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781" w:type="dxa"/>
            <w:gridSpan w:val="5"/>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诉求事项类型</w:t>
            </w:r>
          </w:p>
        </w:tc>
        <w:tc>
          <w:tcPr>
            <w:tcW w:w="940" w:type="dxa"/>
            <w:vAlign w:val="center"/>
          </w:tcPr>
          <w:p>
            <w:pPr>
              <w:jc w:val="center"/>
              <w:rPr>
                <w:rFonts w:hint="default"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诉求人、班级</w:t>
            </w:r>
          </w:p>
        </w:tc>
        <w:tc>
          <w:tcPr>
            <w:tcW w:w="860"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办 理结 果</w:t>
            </w:r>
          </w:p>
        </w:tc>
        <w:tc>
          <w:tcPr>
            <w:tcW w:w="1120" w:type="dxa"/>
            <w:vAlign w:val="center"/>
          </w:tcPr>
          <w:p>
            <w:p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承办人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4" w:type="dxa"/>
          </w:tcPr>
          <w:p>
            <w:pPr>
              <w:rPr>
                <w:rFonts w:hint="eastAsia" w:ascii="宋体" w:hAnsi="宋体" w:eastAsia="宋体" w:cs="宋体"/>
                <w:b/>
                <w:bCs/>
                <w:sz w:val="18"/>
                <w:szCs w:val="18"/>
                <w:vertAlign w:val="baseline"/>
                <w:lang w:val="en-US" w:eastAsia="zh-CN"/>
              </w:rPr>
            </w:pPr>
            <w:r>
              <w:rPr>
                <w:rFonts w:ascii="微软雅黑" w:hAnsi="微软雅黑" w:eastAsia="微软雅黑" w:cs="微软雅黑"/>
                <w:i w:val="0"/>
                <w:caps w:val="0"/>
                <w:color w:val="333333"/>
                <w:spacing w:val="0"/>
                <w:sz w:val="20"/>
                <w:szCs w:val="20"/>
              </w:rPr>
              <w:t>学生管理</w:t>
            </w:r>
          </w:p>
        </w:tc>
        <w:tc>
          <w:tcPr>
            <w:tcW w:w="1500" w:type="dxa"/>
          </w:tcPr>
          <w:p>
            <w:pPr>
              <w:rPr>
                <w:rFonts w:hint="eastAsia" w:ascii="宋体" w:hAnsi="宋体" w:eastAsia="宋体" w:cs="宋体"/>
                <w:b/>
                <w:bCs/>
                <w:sz w:val="18"/>
                <w:szCs w:val="18"/>
                <w:vertAlign w:val="baseline"/>
                <w:lang w:val="en-US" w:eastAsia="zh-CN"/>
              </w:rPr>
            </w:pPr>
            <w:r>
              <w:rPr>
                <w:rFonts w:ascii="微软雅黑" w:hAnsi="微软雅黑" w:eastAsia="微软雅黑" w:cs="微软雅黑"/>
                <w:i w:val="0"/>
                <w:caps w:val="0"/>
                <w:color w:val="333333"/>
                <w:spacing w:val="0"/>
                <w:sz w:val="20"/>
                <w:szCs w:val="20"/>
              </w:rPr>
              <w:t>思想政治教育</w:t>
            </w:r>
          </w:p>
        </w:tc>
        <w:tc>
          <w:tcPr>
            <w:tcW w:w="1050" w:type="dxa"/>
          </w:tcPr>
          <w:p>
            <w:pPr>
              <w:rPr>
                <w:rFonts w:hint="eastAsia" w:ascii="宋体" w:hAnsi="宋体" w:eastAsia="宋体" w:cs="宋体"/>
                <w:b/>
                <w:bCs/>
                <w:sz w:val="18"/>
                <w:szCs w:val="18"/>
                <w:vertAlign w:val="baseline"/>
                <w:lang w:val="en-US" w:eastAsia="zh-CN"/>
              </w:rPr>
            </w:pPr>
            <w:r>
              <w:rPr>
                <w:rFonts w:ascii="微软雅黑" w:hAnsi="微软雅黑" w:eastAsia="微软雅黑" w:cs="微软雅黑"/>
                <w:i w:val="0"/>
                <w:caps w:val="0"/>
                <w:color w:val="333333"/>
                <w:spacing w:val="0"/>
                <w:sz w:val="20"/>
                <w:szCs w:val="20"/>
              </w:rPr>
              <w:t>资助工作</w:t>
            </w:r>
          </w:p>
        </w:tc>
        <w:tc>
          <w:tcPr>
            <w:tcW w:w="1050" w:type="dxa"/>
          </w:tcPr>
          <w:p>
            <w:pPr>
              <w:rPr>
                <w:rFonts w:hint="eastAsia" w:ascii="宋体" w:hAnsi="宋体" w:eastAsia="宋体" w:cs="宋体"/>
                <w:b/>
                <w:bCs/>
                <w:sz w:val="18"/>
                <w:szCs w:val="18"/>
                <w:vertAlign w:val="baseline"/>
                <w:lang w:val="en-US" w:eastAsia="zh-CN"/>
              </w:rPr>
            </w:pPr>
            <w:r>
              <w:rPr>
                <w:rFonts w:hint="eastAsia" w:ascii="微软雅黑" w:hAnsi="微软雅黑" w:eastAsia="微软雅黑" w:cs="微软雅黑"/>
                <w:i w:val="0"/>
                <w:caps w:val="0"/>
                <w:color w:val="333333"/>
                <w:spacing w:val="0"/>
                <w:sz w:val="20"/>
                <w:szCs w:val="20"/>
              </w:rPr>
              <w:t>师生健康</w:t>
            </w:r>
          </w:p>
        </w:tc>
        <w:tc>
          <w:tcPr>
            <w:tcW w:w="1077" w:type="dxa"/>
          </w:tcPr>
          <w:p>
            <w:pPr>
              <w:jc w:val="center"/>
              <w:rPr>
                <w:rFonts w:hint="eastAsia" w:ascii="宋体" w:hAnsi="宋体" w:eastAsia="宋体" w:cs="宋体"/>
                <w:b/>
                <w:bCs/>
                <w:sz w:val="18"/>
                <w:szCs w:val="18"/>
                <w:vertAlign w:val="baseline"/>
                <w:lang w:val="en-US" w:eastAsia="zh-CN"/>
              </w:rPr>
            </w:pPr>
            <w:r>
              <w:rPr>
                <w:rFonts w:hint="eastAsia" w:ascii="微软雅黑" w:hAnsi="微软雅黑" w:eastAsia="微软雅黑" w:cs="微软雅黑"/>
                <w:i w:val="0"/>
                <w:caps w:val="0"/>
                <w:color w:val="333333"/>
                <w:spacing w:val="0"/>
                <w:sz w:val="20"/>
                <w:szCs w:val="20"/>
              </w:rPr>
              <w:t>心理健康</w:t>
            </w:r>
          </w:p>
        </w:tc>
        <w:tc>
          <w:tcPr>
            <w:tcW w:w="940" w:type="dxa"/>
            <w:vMerge w:val="restart"/>
          </w:tcPr>
          <w:p>
            <w:pPr>
              <w:rPr>
                <w:rFonts w:hint="eastAsia" w:ascii="宋体" w:hAnsi="宋体" w:eastAsia="宋体" w:cs="宋体"/>
                <w:b/>
                <w:bCs/>
                <w:sz w:val="24"/>
                <w:szCs w:val="24"/>
                <w:vertAlign w:val="baseline"/>
                <w:lang w:val="en-US" w:eastAsia="zh-CN"/>
              </w:rPr>
            </w:pPr>
          </w:p>
        </w:tc>
        <w:tc>
          <w:tcPr>
            <w:tcW w:w="860" w:type="dxa"/>
            <w:vMerge w:val="restart"/>
          </w:tcPr>
          <w:p>
            <w:pPr>
              <w:rPr>
                <w:rFonts w:hint="eastAsia" w:ascii="宋体" w:hAnsi="宋体" w:eastAsia="宋体" w:cs="宋体"/>
                <w:b/>
                <w:bCs/>
                <w:sz w:val="24"/>
                <w:szCs w:val="24"/>
                <w:vertAlign w:val="baseline"/>
                <w:lang w:val="en-US" w:eastAsia="zh-CN"/>
              </w:rPr>
            </w:pPr>
          </w:p>
        </w:tc>
        <w:tc>
          <w:tcPr>
            <w:tcW w:w="1120" w:type="dxa"/>
            <w:vMerge w:val="restart"/>
          </w:tcPr>
          <w:p>
            <w:pPr>
              <w:rPr>
                <w:rFonts w:hint="eastAsia" w:ascii="宋体" w:hAnsi="宋体" w:eastAsia="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4" w:type="dxa"/>
          </w:tcPr>
          <w:p>
            <w:pPr>
              <w:rPr>
                <w:rFonts w:hint="eastAsia" w:ascii="宋体" w:hAnsi="宋体" w:eastAsia="宋体" w:cs="宋体"/>
                <w:b/>
                <w:bCs/>
                <w:sz w:val="24"/>
                <w:szCs w:val="24"/>
                <w:vertAlign w:val="baseline"/>
                <w:lang w:val="en-US" w:eastAsia="zh-CN"/>
              </w:rPr>
            </w:pPr>
          </w:p>
          <w:p>
            <w:pPr>
              <w:rPr>
                <w:rFonts w:hint="eastAsia" w:ascii="宋体" w:hAnsi="宋体" w:eastAsia="宋体" w:cs="宋体"/>
                <w:b/>
                <w:bCs/>
                <w:sz w:val="24"/>
                <w:szCs w:val="24"/>
                <w:vertAlign w:val="baseline"/>
                <w:lang w:val="en-US" w:eastAsia="zh-CN"/>
              </w:rPr>
            </w:pPr>
          </w:p>
        </w:tc>
        <w:tc>
          <w:tcPr>
            <w:tcW w:w="1500" w:type="dxa"/>
          </w:tcPr>
          <w:p>
            <w:pPr>
              <w:rPr>
                <w:rFonts w:hint="eastAsia" w:ascii="宋体" w:hAnsi="宋体" w:eastAsia="宋体" w:cs="宋体"/>
                <w:b/>
                <w:bCs/>
                <w:sz w:val="24"/>
                <w:szCs w:val="24"/>
                <w:vertAlign w:val="baseline"/>
                <w:lang w:val="en-US" w:eastAsia="zh-CN"/>
              </w:rPr>
            </w:pPr>
          </w:p>
        </w:tc>
        <w:tc>
          <w:tcPr>
            <w:tcW w:w="1050" w:type="dxa"/>
          </w:tcPr>
          <w:p>
            <w:pPr>
              <w:rPr>
                <w:rFonts w:hint="eastAsia" w:ascii="宋体" w:hAnsi="宋体" w:eastAsia="宋体" w:cs="宋体"/>
                <w:b/>
                <w:bCs/>
                <w:sz w:val="24"/>
                <w:szCs w:val="24"/>
                <w:vertAlign w:val="baseline"/>
                <w:lang w:val="en-US" w:eastAsia="zh-CN"/>
              </w:rPr>
            </w:pPr>
          </w:p>
        </w:tc>
        <w:tc>
          <w:tcPr>
            <w:tcW w:w="1050" w:type="dxa"/>
          </w:tcPr>
          <w:p>
            <w:pPr>
              <w:rPr>
                <w:rFonts w:hint="eastAsia" w:ascii="宋体" w:hAnsi="宋体" w:eastAsia="宋体" w:cs="宋体"/>
                <w:b/>
                <w:bCs/>
                <w:sz w:val="24"/>
                <w:szCs w:val="24"/>
                <w:vertAlign w:val="baseline"/>
                <w:lang w:val="en-US" w:eastAsia="zh-CN"/>
              </w:rPr>
            </w:pPr>
          </w:p>
        </w:tc>
        <w:tc>
          <w:tcPr>
            <w:tcW w:w="1077" w:type="dxa"/>
          </w:tcPr>
          <w:p>
            <w:pPr>
              <w:rPr>
                <w:rFonts w:hint="eastAsia" w:ascii="宋体" w:hAnsi="宋体" w:eastAsia="宋体" w:cs="宋体"/>
                <w:b/>
                <w:bCs/>
                <w:sz w:val="24"/>
                <w:szCs w:val="24"/>
                <w:vertAlign w:val="baseline"/>
                <w:lang w:val="en-US" w:eastAsia="zh-CN"/>
              </w:rPr>
            </w:pPr>
          </w:p>
        </w:tc>
        <w:tc>
          <w:tcPr>
            <w:tcW w:w="940" w:type="dxa"/>
            <w:vMerge w:val="continue"/>
          </w:tcPr>
          <w:p>
            <w:pPr>
              <w:rPr>
                <w:rFonts w:hint="eastAsia" w:ascii="宋体" w:hAnsi="宋体" w:eastAsia="宋体" w:cs="宋体"/>
                <w:b/>
                <w:bCs/>
                <w:sz w:val="24"/>
                <w:szCs w:val="24"/>
                <w:vertAlign w:val="baseline"/>
                <w:lang w:val="en-US" w:eastAsia="zh-CN"/>
              </w:rPr>
            </w:pPr>
          </w:p>
        </w:tc>
        <w:tc>
          <w:tcPr>
            <w:tcW w:w="860" w:type="dxa"/>
            <w:vMerge w:val="continue"/>
          </w:tcPr>
          <w:p>
            <w:pPr>
              <w:rPr>
                <w:rFonts w:hint="eastAsia" w:ascii="宋体" w:hAnsi="宋体" w:eastAsia="宋体" w:cs="宋体"/>
                <w:b/>
                <w:bCs/>
                <w:sz w:val="24"/>
                <w:szCs w:val="24"/>
                <w:vertAlign w:val="baseline"/>
                <w:lang w:val="en-US" w:eastAsia="zh-CN"/>
              </w:rPr>
            </w:pPr>
          </w:p>
        </w:tc>
        <w:tc>
          <w:tcPr>
            <w:tcW w:w="1120" w:type="dxa"/>
            <w:vMerge w:val="continue"/>
          </w:tcPr>
          <w:p>
            <w:pPr>
              <w:rPr>
                <w:rFonts w:hint="eastAsia" w:ascii="宋体" w:hAnsi="宋体" w:eastAsia="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 w:hRule="atLeast"/>
        </w:trPr>
        <w:tc>
          <w:tcPr>
            <w:tcW w:w="8701" w:type="dxa"/>
            <w:gridSpan w:val="8"/>
          </w:tcPr>
          <w:p>
            <w:pP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反映内容：</w:t>
            </w:r>
          </w:p>
          <w:p>
            <w:pPr>
              <w:rPr>
                <w:rFonts w:hint="eastAsia" w:ascii="宋体" w:hAnsi="宋体" w:eastAsia="宋体" w:cs="宋体"/>
                <w:sz w:val="24"/>
                <w:szCs w:val="24"/>
                <w:vertAlign w:val="baseline"/>
                <w:lang w:val="en-US" w:eastAsia="zh-CN"/>
              </w:rPr>
            </w:pPr>
          </w:p>
          <w:p>
            <w:pPr>
              <w:rPr>
                <w:rFonts w:hint="eastAsia" w:ascii="宋体" w:hAnsi="宋体" w:eastAsia="宋体" w:cs="宋体"/>
                <w:sz w:val="24"/>
                <w:szCs w:val="24"/>
                <w:vertAlign w:val="baseline"/>
                <w:lang w:val="en-US" w:eastAsia="zh-CN"/>
              </w:rPr>
            </w:pPr>
          </w:p>
          <w:p>
            <w:pPr>
              <w:rPr>
                <w:rFonts w:hint="eastAsia" w:ascii="宋体" w:hAnsi="宋体" w:eastAsia="宋体" w:cs="宋体"/>
                <w:sz w:val="24"/>
                <w:szCs w:val="24"/>
                <w:vertAlign w:val="baseline"/>
                <w:lang w:val="en-US" w:eastAsia="zh-CN"/>
              </w:rPr>
            </w:pPr>
          </w:p>
          <w:p>
            <w:pPr>
              <w:rPr>
                <w:rFonts w:hint="eastAsia" w:ascii="宋体" w:hAnsi="宋体" w:eastAsia="宋体" w:cs="宋体"/>
                <w:sz w:val="24"/>
                <w:szCs w:val="24"/>
                <w:vertAlign w:val="baseline"/>
                <w:lang w:val="en-US" w:eastAsia="zh-CN"/>
              </w:rPr>
            </w:pPr>
          </w:p>
          <w:p>
            <w:pPr>
              <w:rPr>
                <w:rFonts w:hint="eastAsia" w:ascii="宋体" w:hAnsi="宋体" w:eastAsia="宋体" w:cs="宋体"/>
                <w:sz w:val="24"/>
                <w:szCs w:val="24"/>
                <w:vertAlign w:val="baseline"/>
                <w:lang w:val="en-US" w:eastAsia="zh-CN"/>
              </w:rPr>
            </w:pPr>
          </w:p>
          <w:p>
            <w:pPr>
              <w:rPr>
                <w:rFonts w:hint="eastAsia" w:ascii="宋体" w:hAnsi="宋体" w:eastAsia="宋体" w:cs="宋体"/>
                <w:sz w:val="24"/>
                <w:szCs w:val="24"/>
                <w:vertAlign w:val="baseline"/>
                <w:lang w:val="en-US" w:eastAsia="zh-CN"/>
              </w:rPr>
            </w:pPr>
          </w:p>
          <w:p>
            <w:pPr>
              <w:rPr>
                <w:rFonts w:hint="eastAsia" w:ascii="宋体" w:hAnsi="宋体" w:eastAsia="宋体" w:cs="宋体"/>
                <w:sz w:val="24"/>
                <w:szCs w:val="24"/>
                <w:vertAlign w:val="baseline"/>
                <w:lang w:val="en-US" w:eastAsia="zh-CN"/>
              </w:rPr>
            </w:pPr>
          </w:p>
          <w:p>
            <w:pPr>
              <w:rPr>
                <w:rFonts w:hint="eastAsia" w:ascii="宋体" w:hAnsi="宋体" w:eastAsia="宋体" w:cs="宋体"/>
                <w:sz w:val="24"/>
                <w:szCs w:val="24"/>
                <w:vertAlign w:val="baseline"/>
                <w:lang w:val="en-US" w:eastAsia="zh-CN"/>
              </w:rPr>
            </w:pPr>
          </w:p>
          <w:p>
            <w:pPr>
              <w:rPr>
                <w:rFonts w:hint="eastAsia" w:ascii="宋体" w:hAnsi="宋体" w:eastAsia="宋体" w:cs="宋体"/>
                <w:sz w:val="24"/>
                <w:szCs w:val="24"/>
                <w:vertAlign w:val="baseline"/>
                <w:lang w:val="en-US" w:eastAsia="zh-CN"/>
              </w:rPr>
            </w:pPr>
          </w:p>
          <w:p>
            <w:pPr>
              <w:rPr>
                <w:rFonts w:hint="eastAsia" w:ascii="宋体" w:hAnsi="宋体" w:eastAsia="宋体" w:cs="宋体"/>
                <w:sz w:val="24"/>
                <w:szCs w:val="24"/>
                <w:vertAlign w:val="baseline"/>
                <w:lang w:val="en-US" w:eastAsia="zh-CN"/>
              </w:rPr>
            </w:pPr>
          </w:p>
          <w:p>
            <w:pPr>
              <w:rPr>
                <w:rFonts w:hint="eastAsia" w:ascii="宋体" w:hAnsi="宋体" w:eastAsia="宋体" w:cs="宋体"/>
                <w:sz w:val="24"/>
                <w:szCs w:val="24"/>
                <w:vertAlign w:val="baseline"/>
                <w:lang w:val="en-US" w:eastAsia="zh-CN"/>
              </w:rPr>
            </w:pPr>
          </w:p>
          <w:p>
            <w:pPr>
              <w:rPr>
                <w:rFonts w:hint="eastAsia" w:ascii="宋体" w:hAnsi="宋体" w:eastAsia="宋体" w:cs="宋体"/>
                <w:sz w:val="24"/>
                <w:szCs w:val="24"/>
                <w:vertAlign w:val="baseline"/>
                <w:lang w:val="en-US" w:eastAsia="zh-CN"/>
              </w:rPr>
            </w:pPr>
          </w:p>
          <w:p>
            <w:pPr>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8701" w:type="dxa"/>
            <w:gridSpan w:val="8"/>
          </w:tcPr>
          <w:p>
            <w:pP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办理情况：</w:t>
            </w:r>
          </w:p>
          <w:p>
            <w:pPr>
              <w:rPr>
                <w:rFonts w:hint="eastAsia" w:ascii="宋体" w:hAnsi="宋体" w:eastAsia="宋体" w:cs="宋体"/>
                <w:sz w:val="24"/>
                <w:szCs w:val="24"/>
                <w:vertAlign w:val="baseline"/>
                <w:lang w:val="en-US" w:eastAsia="zh-CN"/>
              </w:rPr>
            </w:pPr>
          </w:p>
          <w:p>
            <w:pPr>
              <w:rPr>
                <w:rFonts w:hint="eastAsia" w:ascii="宋体" w:hAnsi="宋体" w:eastAsia="宋体" w:cs="宋体"/>
                <w:sz w:val="24"/>
                <w:szCs w:val="24"/>
                <w:vertAlign w:val="baseline"/>
                <w:lang w:val="en-US" w:eastAsia="zh-CN"/>
              </w:rPr>
            </w:pPr>
          </w:p>
          <w:p>
            <w:pPr>
              <w:rPr>
                <w:rFonts w:hint="eastAsia" w:ascii="宋体" w:hAnsi="宋体" w:eastAsia="宋体" w:cs="宋体"/>
                <w:sz w:val="24"/>
                <w:szCs w:val="24"/>
                <w:vertAlign w:val="baseline"/>
                <w:lang w:val="en-US" w:eastAsia="zh-CN"/>
              </w:rPr>
            </w:pPr>
          </w:p>
          <w:p>
            <w:pPr>
              <w:rPr>
                <w:rFonts w:hint="eastAsia" w:ascii="宋体" w:hAnsi="宋体" w:eastAsia="宋体" w:cs="宋体"/>
                <w:sz w:val="24"/>
                <w:szCs w:val="24"/>
                <w:vertAlign w:val="baseline"/>
                <w:lang w:val="en-US" w:eastAsia="zh-CN"/>
              </w:rPr>
            </w:pPr>
          </w:p>
          <w:p>
            <w:pPr>
              <w:rPr>
                <w:rFonts w:hint="eastAsia" w:ascii="宋体" w:hAnsi="宋体" w:eastAsia="宋体" w:cs="宋体"/>
                <w:sz w:val="24"/>
                <w:szCs w:val="24"/>
                <w:vertAlign w:val="baseline"/>
                <w:lang w:val="en-US" w:eastAsia="zh-CN"/>
              </w:rPr>
            </w:pPr>
          </w:p>
          <w:p>
            <w:pPr>
              <w:rPr>
                <w:rFonts w:hint="eastAsia" w:ascii="宋体" w:hAnsi="宋体" w:eastAsia="宋体" w:cs="宋体"/>
                <w:sz w:val="24"/>
                <w:szCs w:val="24"/>
                <w:vertAlign w:val="baseline"/>
                <w:lang w:val="en-US" w:eastAsia="zh-CN"/>
              </w:rPr>
            </w:pPr>
          </w:p>
          <w:p>
            <w:pPr>
              <w:rPr>
                <w:rFonts w:hint="eastAsia" w:ascii="宋体" w:hAnsi="宋体" w:eastAsia="宋体" w:cs="宋体"/>
                <w:sz w:val="24"/>
                <w:szCs w:val="24"/>
                <w:vertAlign w:val="baseline"/>
                <w:lang w:val="en-US" w:eastAsia="zh-CN"/>
              </w:rPr>
            </w:pPr>
          </w:p>
          <w:p>
            <w:pPr>
              <w:rPr>
                <w:rFonts w:hint="eastAsia" w:ascii="宋体" w:hAnsi="宋体" w:eastAsia="宋体" w:cs="宋体"/>
                <w:sz w:val="24"/>
                <w:szCs w:val="24"/>
                <w:vertAlign w:val="baseline"/>
                <w:lang w:val="en-US" w:eastAsia="zh-CN"/>
              </w:rPr>
            </w:pPr>
          </w:p>
          <w:p>
            <w:pPr>
              <w:rPr>
                <w:rFonts w:hint="eastAsia" w:ascii="宋体" w:hAnsi="宋体" w:eastAsia="宋体" w:cs="宋体"/>
                <w:sz w:val="24"/>
                <w:szCs w:val="24"/>
                <w:vertAlign w:val="baseline"/>
                <w:lang w:val="en-US" w:eastAsia="zh-CN"/>
              </w:rPr>
            </w:pPr>
          </w:p>
          <w:p>
            <w:pPr>
              <w:rPr>
                <w:rFonts w:hint="eastAsia" w:ascii="宋体" w:hAnsi="宋体" w:eastAsia="宋体" w:cs="宋体"/>
                <w:sz w:val="24"/>
                <w:szCs w:val="24"/>
                <w:vertAlign w:val="baseline"/>
                <w:lang w:val="en-US" w:eastAsia="zh-CN"/>
              </w:rPr>
            </w:pPr>
          </w:p>
          <w:p>
            <w:pPr>
              <w:rPr>
                <w:rFonts w:hint="eastAsia" w:ascii="宋体" w:hAnsi="宋体" w:eastAsia="宋体" w:cs="宋体"/>
                <w:sz w:val="24"/>
                <w:szCs w:val="24"/>
                <w:vertAlign w:val="baseline"/>
                <w:lang w:val="en-US" w:eastAsia="zh-CN"/>
              </w:rPr>
            </w:pPr>
          </w:p>
        </w:tc>
      </w:tr>
    </w:tbl>
    <w:p>
      <w:pPr>
        <w:rPr>
          <w:rFonts w:hint="eastAsia" w:ascii="宋体" w:hAnsi="宋体" w:eastAsia="宋体" w:cs="宋体"/>
          <w:sz w:val="32"/>
          <w:szCs w:val="32"/>
          <w:lang w:val="en-US" w:eastAsia="zh-CN"/>
        </w:rPr>
      </w:pPr>
    </w:p>
    <w:p>
      <w:pPr>
        <w:rPr>
          <w:rFonts w:hint="eastAsia" w:ascii="宋体" w:hAnsi="宋体" w:eastAsia="宋体" w:cs="宋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xZDcxMjljODMwZWFiZWVlYjA1MGM3ZTg1NzkzMTMifQ=="/>
  </w:docVars>
  <w:rsids>
    <w:rsidRoot w:val="215B193C"/>
    <w:rsid w:val="03A2587F"/>
    <w:rsid w:val="2019134C"/>
    <w:rsid w:val="215B193C"/>
    <w:rsid w:val="37154581"/>
    <w:rsid w:val="4A7E6C1C"/>
    <w:rsid w:val="51D70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305</Words>
  <Characters>322</Characters>
  <Lines>0</Lines>
  <Paragraphs>0</Paragraphs>
  <ScaleCrop>false</ScaleCrop>
  <LinksUpToDate>false</LinksUpToDate>
  <CharactersWithSpaces>361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2022-11-09T00:41:00Z</dcterms:created>
  <dc:creator>user</dc:creator>
  <cp:lastModifiedBy>Administrator</cp:lastModifiedBy>
  <cp:lastPrinted>2023-02-20T10:13:00Z</cp:lastPrinted>
  <dcterms:modified xsi:type="dcterms:W3CDTF">2023-03-02T00:59:48Z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0C496952699648E093558A51D6B56F0E</vt:lpwstr>
  </property>
</Properties>
</file>